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8" w:rsidRPr="00914B68" w:rsidRDefault="00914B68" w:rsidP="0091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68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НАУКИ, </w:t>
      </w:r>
      <w:proofErr w:type="gramStart"/>
      <w:r w:rsidRPr="00914B68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914B68">
        <w:rPr>
          <w:rFonts w:ascii="Times New Roman" w:hAnsi="Times New Roman" w:cs="Times New Roman"/>
          <w:b/>
          <w:sz w:val="28"/>
          <w:szCs w:val="28"/>
        </w:rPr>
        <w:t>І ТА СПОРТУ УКРАЇНИ</w:t>
      </w:r>
    </w:p>
    <w:p w:rsidR="00914B68" w:rsidRPr="00914B68" w:rsidRDefault="00914B68" w:rsidP="0091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6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№409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2012 року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B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плані</w:t>
      </w:r>
      <w:proofErr w:type="gramStart"/>
      <w:r w:rsidRPr="00914B6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Pr="00914B68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15 Закону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EA5060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 </w:t>
        </w:r>
        <w:proofErr w:type="spellStart"/>
        <w:r w:rsidRPr="00EA5060">
          <w:rPr>
            <w:rStyle w:val="a3"/>
            <w:rFonts w:ascii="Times New Roman" w:hAnsi="Times New Roman" w:cs="Times New Roman"/>
            <w:sz w:val="28"/>
            <w:szCs w:val="28"/>
          </w:rPr>
          <w:t>освіту</w:t>
        </w:r>
        <w:proofErr w:type="spellEnd"/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23 листопада 2011 р. </w:t>
      </w:r>
      <w:hyperlink r:id="rId7" w:history="1">
        <w:r w:rsidRPr="00EA5060">
          <w:rPr>
            <w:rStyle w:val="a3"/>
            <w:rFonts w:ascii="Times New Roman" w:hAnsi="Times New Roman" w:cs="Times New Roman"/>
            <w:sz w:val="28"/>
            <w:szCs w:val="28"/>
          </w:rPr>
          <w:t>№1392</w:t>
        </w:r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, наказу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19.01 2012 р. №43 "Про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23 листопада 2011 р. №1392",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: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1 - 8).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2. Ввести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: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5-х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2013/2014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6-х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2014/2015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7-х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2015/2016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8-х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9-х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2017/2018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поетапної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      Б.М.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Жебровський</w:t>
      </w:r>
      <w:proofErr w:type="spellEnd"/>
    </w:p>
    <w:p w:rsidR="00EA5060" w:rsidRDefault="00EA5060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060" w:rsidRDefault="00EA5060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B68" w:rsidRPr="00EA5060" w:rsidRDefault="00914B68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914B68" w:rsidRPr="00EA5060" w:rsidRDefault="00914B68" w:rsidP="00EA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Типових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планів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EA5060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Pr="00EA5060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hyperlink r:id="rId8" w:history="1"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 </w:t>
        </w:r>
        <w:proofErr w:type="spellStart"/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>загальну</w:t>
        </w:r>
        <w:proofErr w:type="spellEnd"/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>середню</w:t>
        </w:r>
        <w:proofErr w:type="spellEnd"/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8253A">
          <w:rPr>
            <w:rStyle w:val="a3"/>
            <w:rFonts w:ascii="Times New Roman" w:hAnsi="Times New Roman" w:cs="Times New Roman"/>
            <w:sz w:val="28"/>
            <w:szCs w:val="28"/>
          </w:rPr>
          <w:t>освіту</w:t>
        </w:r>
        <w:proofErr w:type="spellEnd"/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" та постанови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23 листопада 2011 р. </w:t>
      </w:r>
      <w:hyperlink r:id="rId9" w:history="1">
        <w:r w:rsidRPr="00EA5060">
          <w:rPr>
            <w:rStyle w:val="a3"/>
            <w:rFonts w:ascii="Times New Roman" w:hAnsi="Times New Roman" w:cs="Times New Roman"/>
            <w:sz w:val="28"/>
            <w:szCs w:val="28"/>
          </w:rPr>
          <w:t>№1392</w:t>
        </w:r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плану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інваріантну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сформовану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факультативи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"Математика",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культура".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планах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реалізуватися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меншини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курс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обов’язкове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Нею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"Математика"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– "Математика" (5-6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), "Алгебра"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(7-9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, –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(5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(6-9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(7-9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предметами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(5-9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(9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культура"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предметами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культура".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рамках предмета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інтегрується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змісті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інваріантної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Змістове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914B68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культура"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статево-вікових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іально-технічної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закладу, кадрового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реалізовуватись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ритміка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покликаного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предметами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культура".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курс "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".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Повноцінність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інваріантної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бюджеті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: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E23">
        <w:rPr>
          <w:rFonts w:ascii="Times New Roman" w:hAnsi="Times New Roman" w:cs="Times New Roman"/>
          <w:b/>
          <w:sz w:val="28"/>
          <w:szCs w:val="28"/>
        </w:rPr>
        <w:t>додатка</w:t>
      </w:r>
      <w:proofErr w:type="spellEnd"/>
      <w:r w:rsidRPr="00713E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A356B">
        <w:rPr>
          <w:rFonts w:ascii="Times New Roman" w:hAnsi="Times New Roman" w:cs="Times New Roman"/>
          <w:sz w:val="28"/>
          <w:szCs w:val="28"/>
        </w:rPr>
        <w:t>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меншини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) циклу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циклу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циклу -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914B68" w:rsidRPr="00FA356B" w:rsidRDefault="00914B68" w:rsidP="00FA35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колегіумів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8. При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B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FA356B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школах,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гімназіях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ліцеях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колегіумах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 норм,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закладам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перерозподіляти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ідпорядкуванні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lastRenderedPageBreak/>
        <w:t>знаходиться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: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ідсилення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інваріантної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поглиблено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календарному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уроки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журналу,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для предмета, на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ідсилення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спеціалізацію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ітоглядного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релігій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культур, риторика,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);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навчально-методичного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кадрового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ідпорядкуванні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управліннями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спорту.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20.02.2002 р. </w:t>
      </w:r>
      <w:hyperlink r:id="rId10" w:history="1">
        <w:r w:rsidRPr="00674FCF">
          <w:rPr>
            <w:rStyle w:val="a3"/>
            <w:rFonts w:ascii="Times New Roman" w:hAnsi="Times New Roman" w:cs="Times New Roman"/>
            <w:sz w:val="28"/>
            <w:szCs w:val="28"/>
          </w:rPr>
          <w:t>№ 128</w:t>
        </w:r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ясел-садків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інтернатів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закладах",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2002 р. за № 229/6517.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23 листопада 2011 року </w:t>
      </w:r>
      <w:hyperlink r:id="rId11" w:history="1">
        <w:r w:rsidRPr="00674FCF">
          <w:rPr>
            <w:rStyle w:val="a3"/>
            <w:rFonts w:ascii="Times New Roman" w:hAnsi="Times New Roman" w:cs="Times New Roman"/>
            <w:sz w:val="28"/>
            <w:szCs w:val="28"/>
          </w:rPr>
          <w:t>№1392</w:t>
        </w:r>
      </w:hyperlink>
      <w:r w:rsidRPr="00914B6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меншій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зекономлених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B68">
        <w:rPr>
          <w:rFonts w:ascii="Times New Roman" w:hAnsi="Times New Roman" w:cs="Times New Roman"/>
          <w:sz w:val="28"/>
          <w:szCs w:val="28"/>
        </w:rPr>
        <w:lastRenderedPageBreak/>
        <w:t>Типові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зорієнтовані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B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4B6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за 5-денним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тижнем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.</w:t>
      </w: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Директор департаменту       О.В.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8" w:rsidRPr="00914B68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3E23">
        <w:rPr>
          <w:rFonts w:ascii="Times New Roman" w:hAnsi="Times New Roman" w:cs="Times New Roman"/>
          <w:b/>
          <w:sz w:val="28"/>
          <w:szCs w:val="28"/>
        </w:rPr>
        <w:t>Освіта.ua</w:t>
      </w:r>
      <w:proofErr w:type="spellEnd"/>
    </w:p>
    <w:p w:rsidR="00000000" w:rsidRDefault="00914B68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B68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914B68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914B68">
        <w:rPr>
          <w:rFonts w:ascii="Times New Roman" w:hAnsi="Times New Roman" w:cs="Times New Roman"/>
          <w:sz w:val="28"/>
          <w:szCs w:val="28"/>
        </w:rPr>
        <w:t>: 03.04.2012</w:t>
      </w:r>
    </w:p>
    <w:p w:rsidR="00707CD6" w:rsidRDefault="00707CD6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CD6" w:rsidRDefault="00707CD6" w:rsidP="00707CD6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707CD6" w:rsidRDefault="00707CD6" w:rsidP="00707C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Типовий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навчанням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мовою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3"/>
        <w:gridCol w:w="917"/>
        <w:gridCol w:w="917"/>
        <w:gridCol w:w="1014"/>
        <w:gridCol w:w="993"/>
        <w:gridCol w:w="1135"/>
      </w:tblGrid>
      <w:tr w:rsidR="00707CD6" w:rsidTr="00707CD6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класах</w:t>
            </w:r>
            <w:proofErr w:type="spellEnd"/>
          </w:p>
        </w:tc>
      </w:tr>
      <w:tr w:rsidR="00707CD6" w:rsidTr="00707CD6">
        <w:trPr>
          <w:trHeight w:val="300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7CD6" w:rsidTr="00707CD6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культура**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7CD6" w:rsidTr="00707CD6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27,5+3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</w:tr>
      <w:tr w:rsidR="00707CD6" w:rsidTr="00707CD6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факультативи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7CD6" w:rsidTr="00707CD6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допустиме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07CD6" w:rsidTr="00707CD6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(без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урахування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29+3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D6" w:rsidRDefault="0070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707CD6" w:rsidRDefault="00707CD6" w:rsidP="00707CD6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/>
          <w:sz w:val="24"/>
          <w:szCs w:val="24"/>
        </w:rPr>
        <w:t>Загальноосвітній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 «</w:t>
      </w:r>
      <w:proofErr w:type="spellStart"/>
      <w:r>
        <w:rPr>
          <w:rFonts w:ascii="Times New Roman" w:hAnsi="Times New Roman"/>
          <w:sz w:val="24"/>
          <w:szCs w:val="24"/>
        </w:rPr>
        <w:t>Мистецтво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курси</w:t>
      </w:r>
      <w:proofErr w:type="spellEnd"/>
      <w:r>
        <w:rPr>
          <w:rFonts w:ascii="Times New Roman" w:hAnsi="Times New Roman"/>
          <w:sz w:val="24"/>
          <w:szCs w:val="24"/>
        </w:rPr>
        <w:t>: «</w:t>
      </w:r>
      <w:proofErr w:type="spellStart"/>
      <w:r>
        <w:rPr>
          <w:rFonts w:ascii="Times New Roman" w:hAnsi="Times New Roman"/>
          <w:sz w:val="24"/>
          <w:szCs w:val="24"/>
        </w:rPr>
        <w:t>Музичне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мистецтво</w:t>
      </w:r>
      <w:proofErr w:type="spellEnd"/>
      <w:r>
        <w:rPr>
          <w:rFonts w:ascii="Times New Roman" w:hAnsi="Times New Roman"/>
          <w:sz w:val="24"/>
          <w:szCs w:val="24"/>
        </w:rPr>
        <w:t>» та «</w:t>
      </w:r>
      <w:proofErr w:type="spellStart"/>
      <w:r>
        <w:rPr>
          <w:rFonts w:ascii="Times New Roman" w:hAnsi="Times New Roman"/>
          <w:sz w:val="24"/>
          <w:szCs w:val="24"/>
        </w:rPr>
        <w:t>Образотворче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мистецтво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07CD6" w:rsidRPr="00707CD6" w:rsidRDefault="00707CD6" w:rsidP="00707CD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фізичної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</w:rPr>
        <w:t>враховуються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гранично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допустимого   </w:t>
      </w:r>
      <w:proofErr w:type="spellStart"/>
      <w:r>
        <w:rPr>
          <w:rFonts w:ascii="Times New Roman" w:hAnsi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обов'язково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фінансуються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7CD6" w:rsidRPr="00707CD6" w:rsidRDefault="00707CD6" w:rsidP="00707CD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07CD6" w:rsidRDefault="00707CD6" w:rsidP="00707CD6">
      <w:pPr>
        <w:shd w:val="clear" w:color="auto" w:fill="FFFFFF"/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Єресько</w:t>
      </w:r>
      <w:proofErr w:type="spellEnd"/>
    </w:p>
    <w:p w:rsidR="00707CD6" w:rsidRPr="00707CD6" w:rsidRDefault="00707CD6" w:rsidP="00914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7CD6" w:rsidRPr="00707CD6" w:rsidSect="00914B68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83A"/>
    <w:multiLevelType w:val="hybridMultilevel"/>
    <w:tmpl w:val="F84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B68"/>
    <w:rsid w:val="00674FCF"/>
    <w:rsid w:val="00707CD6"/>
    <w:rsid w:val="00713E23"/>
    <w:rsid w:val="00914B68"/>
    <w:rsid w:val="00A8253A"/>
    <w:rsid w:val="00EA5060"/>
    <w:rsid w:val="00F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vita.ua/legislation/Ser_osv/2803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1/" TargetMode="External"/><Relationship Id="rId11" Type="http://schemas.openxmlformats.org/officeDocument/2006/relationships/hyperlink" Target="http://osvita.ua/legislation/Ser_osv/280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other/30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2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34A3-AE1A-4E25-B9B0-991BD65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1773</Words>
  <Characters>10112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2012-04-09T05:09:00Z</dcterms:created>
  <dcterms:modified xsi:type="dcterms:W3CDTF">2012-04-09T05:18:00Z</dcterms:modified>
</cp:coreProperties>
</file>